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0" w:type="dxa"/>
        <w:tblLayout w:type="fixed"/>
        <w:tblLook w:val="0000" w:firstRow="0" w:lastRow="0" w:firstColumn="0" w:lastColumn="0" w:noHBand="0" w:noVBand="0"/>
      </w:tblPr>
      <w:tblGrid>
        <w:gridCol w:w="1920"/>
        <w:gridCol w:w="5997"/>
        <w:gridCol w:w="2932"/>
      </w:tblGrid>
      <w:tr w:rsidR="00900561" w:rsidTr="00FA48CF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</w:pPr>
          </w:p>
          <w:p w:rsidR="00900561" w:rsidRDefault="00900561" w:rsidP="00FA48CF">
            <w:pPr>
              <w:jc w:val="center"/>
            </w:pPr>
          </w:p>
          <w:p w:rsidR="00900561" w:rsidRDefault="00900561" w:rsidP="00FA48C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8C8241F" wp14:editId="511E6638">
                  <wp:extent cx="800100" cy="838200"/>
                  <wp:effectExtent l="0" t="0" r="0" b="0"/>
                  <wp:docPr id="5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49" t="-1645" r="-1849" b="-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61" w:rsidRDefault="00900561" w:rsidP="00FA48CF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</w:pPr>
          </w:p>
          <w:p w:rsidR="00900561" w:rsidRDefault="00900561" w:rsidP="00FA48CF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900561" w:rsidRDefault="00900561" w:rsidP="00FA48C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Scuola dell’Infanzia,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Primaria  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Secondaria  di Primo Grado</w:t>
            </w:r>
          </w:p>
          <w:p w:rsidR="00900561" w:rsidRDefault="00900561" w:rsidP="00FA48CF">
            <w:pPr>
              <w:jc w:val="center"/>
            </w:pPr>
            <w:r>
              <w:rPr>
                <w:sz w:val="20"/>
                <w:szCs w:val="20"/>
              </w:rPr>
              <w:t>Viale D. Galante, 21 – 85047 Moliterno (Pz)</w:t>
            </w:r>
          </w:p>
          <w:p w:rsidR="00900561" w:rsidRDefault="00900561" w:rsidP="00FA48CF">
            <w:pPr>
              <w:jc w:val="center"/>
            </w:pPr>
            <w:r>
              <w:rPr>
                <w:sz w:val="20"/>
                <w:szCs w:val="20"/>
              </w:rPr>
              <w:t xml:space="preserve">con sede associata </w:t>
            </w:r>
            <w:proofErr w:type="gramStart"/>
            <w:r>
              <w:rPr>
                <w:sz w:val="20"/>
                <w:szCs w:val="20"/>
              </w:rPr>
              <w:t>in  Spinoso</w:t>
            </w:r>
            <w:proofErr w:type="gramEnd"/>
            <w:r>
              <w:rPr>
                <w:sz w:val="20"/>
                <w:szCs w:val="20"/>
              </w:rPr>
              <w:t xml:space="preserve"> - Sarconi(Pz)</w:t>
            </w:r>
          </w:p>
          <w:p w:rsidR="00900561" w:rsidRDefault="00900561" w:rsidP="00FA48CF">
            <w:pPr>
              <w:jc w:val="center"/>
            </w:pPr>
            <w:r w:rsidRPr="004C5F25">
              <w:rPr>
                <w:sz w:val="20"/>
                <w:szCs w:val="20"/>
              </w:rPr>
              <w:t>Tel. 0975/64106 – Fax 0975/422397</w:t>
            </w:r>
          </w:p>
          <w:p w:rsidR="00900561" w:rsidRDefault="00900561" w:rsidP="00FA48C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Cod. Scuola: PZIC85500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.: 96032740761</w:t>
            </w:r>
          </w:p>
          <w:p w:rsidR="00900561" w:rsidRDefault="00900561" w:rsidP="00FA48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900561" w:rsidRPr="004C5F25" w:rsidRDefault="00900561" w:rsidP="00FA48CF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www.comprensivomoliterno.edu.it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61" w:rsidRDefault="00900561" w:rsidP="00FA48CF">
            <w:pPr>
              <w:snapToGrid w:val="0"/>
              <w:jc w:val="center"/>
              <w:rPr>
                <w:lang w:val="en-US"/>
              </w:rPr>
            </w:pPr>
          </w:p>
          <w:p w:rsidR="00900561" w:rsidRDefault="00900561" w:rsidP="00FA48CF">
            <w:pPr>
              <w:jc w:val="center"/>
              <w:rPr>
                <w:lang w:val="en-US"/>
              </w:rPr>
            </w:pPr>
          </w:p>
          <w:p w:rsidR="00900561" w:rsidRDefault="00900561" w:rsidP="00FA48CF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6444B96" wp14:editId="551479C8">
                  <wp:extent cx="977900" cy="723900"/>
                  <wp:effectExtent l="0" t="0" r="0" b="0"/>
                  <wp:docPr id="4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92" t="-6352" r="-4692" b="-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AF" w:rsidRDefault="00B1498F"/>
    <w:p w:rsidR="0042363D" w:rsidRDefault="0042363D" w:rsidP="00900561">
      <w:pPr>
        <w:jc w:val="center"/>
        <w:rPr>
          <w:b/>
        </w:rPr>
      </w:pPr>
    </w:p>
    <w:p w:rsidR="0042363D" w:rsidRDefault="0042363D" w:rsidP="00900561">
      <w:pPr>
        <w:jc w:val="center"/>
        <w:rPr>
          <w:b/>
        </w:rPr>
      </w:pPr>
    </w:p>
    <w:p w:rsidR="0042363D" w:rsidRDefault="00900561" w:rsidP="00900561">
      <w:pPr>
        <w:jc w:val="center"/>
        <w:rPr>
          <w:b/>
        </w:rPr>
      </w:pPr>
      <w:r>
        <w:rPr>
          <w:b/>
        </w:rPr>
        <w:t xml:space="preserve">GRIGLIA DI OSSERVAZIONE DAD </w:t>
      </w:r>
      <w:bookmarkStart w:id="0" w:name="_GoBack"/>
      <w:bookmarkEnd w:id="0"/>
    </w:p>
    <w:p w:rsidR="0042363D" w:rsidRDefault="0042363D" w:rsidP="00900561">
      <w:pPr>
        <w:jc w:val="center"/>
        <w:rPr>
          <w:b/>
        </w:rPr>
      </w:pPr>
    </w:p>
    <w:p w:rsidR="00900561" w:rsidRDefault="00900561" w:rsidP="00900561">
      <w:pPr>
        <w:jc w:val="center"/>
        <w:rPr>
          <w:b/>
        </w:rPr>
      </w:pPr>
      <w:r>
        <w:rPr>
          <w:b/>
        </w:rPr>
        <w:t xml:space="preserve"> COMPETENZE</w:t>
      </w:r>
    </w:p>
    <w:p w:rsidR="00900561" w:rsidRDefault="00900561" w:rsidP="00900561">
      <w:pPr>
        <w:jc w:val="center"/>
        <w:rPr>
          <w:b/>
        </w:rPr>
      </w:pP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992"/>
        <w:gridCol w:w="992"/>
        <w:gridCol w:w="992"/>
        <w:gridCol w:w="1135"/>
      </w:tblGrid>
      <w:tr w:rsidR="0042363D" w:rsidTr="0042363D">
        <w:tc>
          <w:tcPr>
            <w:tcW w:w="2977" w:type="dxa"/>
            <w:shd w:val="clear" w:color="auto" w:fill="BCDBE5" w:themeFill="accent4" w:themeFillTint="66"/>
            <w:vAlign w:val="center"/>
          </w:tcPr>
          <w:p w:rsidR="00900561" w:rsidRPr="0042363D" w:rsidRDefault="00900561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 xml:space="preserve">COMPETENZE E </w:t>
            </w:r>
            <w:r w:rsidR="002D7AF6" w:rsidRPr="0042363D">
              <w:rPr>
                <w:b/>
                <w:sz w:val="20"/>
              </w:rPr>
              <w:t>CRITERI</w:t>
            </w:r>
          </w:p>
        </w:tc>
        <w:tc>
          <w:tcPr>
            <w:tcW w:w="3827" w:type="dxa"/>
            <w:shd w:val="clear" w:color="auto" w:fill="BCDBE5" w:themeFill="accent4" w:themeFillTint="66"/>
            <w:vAlign w:val="center"/>
          </w:tcPr>
          <w:p w:rsidR="00900561" w:rsidRPr="0042363D" w:rsidRDefault="002D7AF6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>DESCRITTORI</w:t>
            </w:r>
          </w:p>
        </w:tc>
        <w:tc>
          <w:tcPr>
            <w:tcW w:w="992" w:type="dxa"/>
            <w:shd w:val="clear" w:color="auto" w:fill="BCDBE5" w:themeFill="accent4" w:themeFillTint="66"/>
            <w:vAlign w:val="center"/>
          </w:tcPr>
          <w:p w:rsidR="00900561" w:rsidRPr="0042363D" w:rsidRDefault="002D7AF6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>MAI</w:t>
            </w:r>
          </w:p>
        </w:tc>
        <w:tc>
          <w:tcPr>
            <w:tcW w:w="992" w:type="dxa"/>
            <w:shd w:val="clear" w:color="auto" w:fill="BCDBE5" w:themeFill="accent4" w:themeFillTint="66"/>
            <w:vAlign w:val="center"/>
          </w:tcPr>
          <w:p w:rsidR="00900561" w:rsidRPr="0042363D" w:rsidRDefault="002D7AF6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>A VOLTE</w:t>
            </w:r>
          </w:p>
        </w:tc>
        <w:tc>
          <w:tcPr>
            <w:tcW w:w="992" w:type="dxa"/>
            <w:shd w:val="clear" w:color="auto" w:fill="BCDBE5" w:themeFill="accent4" w:themeFillTint="66"/>
            <w:vAlign w:val="center"/>
          </w:tcPr>
          <w:p w:rsidR="00900561" w:rsidRPr="0042363D" w:rsidRDefault="002D7AF6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>SPESSO</w:t>
            </w:r>
          </w:p>
        </w:tc>
        <w:tc>
          <w:tcPr>
            <w:tcW w:w="1135" w:type="dxa"/>
            <w:shd w:val="clear" w:color="auto" w:fill="BCDBE5" w:themeFill="accent4" w:themeFillTint="66"/>
            <w:vAlign w:val="center"/>
          </w:tcPr>
          <w:p w:rsidR="00900561" w:rsidRPr="0042363D" w:rsidRDefault="002D7AF6" w:rsidP="0042363D">
            <w:pPr>
              <w:jc w:val="center"/>
              <w:rPr>
                <w:b/>
                <w:sz w:val="20"/>
              </w:rPr>
            </w:pPr>
            <w:r w:rsidRPr="0042363D">
              <w:rPr>
                <w:b/>
                <w:sz w:val="20"/>
              </w:rPr>
              <w:t>SEMPRE</w:t>
            </w:r>
          </w:p>
        </w:tc>
      </w:tr>
      <w:tr w:rsidR="0042363D" w:rsidTr="0042363D">
        <w:tc>
          <w:tcPr>
            <w:tcW w:w="2977" w:type="dxa"/>
            <w:shd w:val="clear" w:color="auto" w:fill="FCE9D0" w:themeFill="accent1" w:themeFillTint="33"/>
            <w:vAlign w:val="center"/>
          </w:tcPr>
          <w:p w:rsidR="0042363D" w:rsidRDefault="002D7AF6" w:rsidP="0042363D">
            <w:pPr>
              <w:ind w:left="-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>IMPARARE A</w:t>
            </w:r>
          </w:p>
          <w:p w:rsidR="00900561" w:rsidRPr="0042363D" w:rsidRDefault="002D7AF6" w:rsidP="0042363D">
            <w:pPr>
              <w:ind w:left="-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 xml:space="preserve"> IMPARARE</w:t>
            </w:r>
          </w:p>
        </w:tc>
        <w:tc>
          <w:tcPr>
            <w:tcW w:w="3827" w:type="dxa"/>
          </w:tcPr>
          <w:p w:rsidR="002D7AF6" w:rsidRPr="0042363D" w:rsidRDefault="002D7AF6" w:rsidP="002D7AF6">
            <w:pPr>
              <w:pStyle w:val="Paragrafoelenco"/>
              <w:numPr>
                <w:ilvl w:val="0"/>
                <w:numId w:val="2"/>
              </w:numPr>
              <w:ind w:left="225" w:hanging="225"/>
              <w:jc w:val="both"/>
              <w:rPr>
                <w:sz w:val="24"/>
              </w:rPr>
            </w:pPr>
            <w:r w:rsidRPr="0042363D">
              <w:rPr>
                <w:sz w:val="24"/>
              </w:rPr>
              <w:t>Gestire efficacemente</w:t>
            </w:r>
          </w:p>
          <w:p w:rsidR="002D7AF6" w:rsidRPr="0042363D" w:rsidRDefault="002D7AF6" w:rsidP="002D7AF6">
            <w:pPr>
              <w:jc w:val="both"/>
            </w:pPr>
            <w:r w:rsidRPr="0042363D">
              <w:t>il tempo e le informazioni sulle piattaforme.</w:t>
            </w:r>
          </w:p>
          <w:p w:rsidR="002D7AF6" w:rsidRPr="0042363D" w:rsidRDefault="002D7AF6" w:rsidP="002D7AF6">
            <w:pPr>
              <w:pStyle w:val="Paragrafoelenco"/>
              <w:numPr>
                <w:ilvl w:val="0"/>
                <w:numId w:val="2"/>
              </w:numPr>
              <w:ind w:left="225" w:hanging="225"/>
              <w:jc w:val="both"/>
              <w:rPr>
                <w:sz w:val="24"/>
              </w:rPr>
            </w:pPr>
            <w:r w:rsidRPr="0042363D">
              <w:rPr>
                <w:sz w:val="24"/>
              </w:rPr>
              <w:t>Lavorare con gli altri</w:t>
            </w:r>
          </w:p>
          <w:p w:rsidR="002D7AF6" w:rsidRPr="0042363D" w:rsidRDefault="002D7AF6" w:rsidP="002D7AF6">
            <w:pPr>
              <w:jc w:val="both"/>
            </w:pPr>
            <w:r w:rsidRPr="0042363D">
              <w:t>in modo costruttivo anche in</w:t>
            </w:r>
          </w:p>
          <w:p w:rsidR="002D7AF6" w:rsidRPr="0042363D" w:rsidRDefault="002D7AF6" w:rsidP="002D7AF6">
            <w:pPr>
              <w:jc w:val="both"/>
            </w:pPr>
            <w:r w:rsidRPr="0042363D">
              <w:t>modalità on line.</w:t>
            </w:r>
          </w:p>
          <w:p w:rsidR="002D7AF6" w:rsidRPr="0042363D" w:rsidRDefault="002D7AF6" w:rsidP="002D7AF6">
            <w:pPr>
              <w:pStyle w:val="Paragrafoelenco"/>
              <w:numPr>
                <w:ilvl w:val="0"/>
                <w:numId w:val="2"/>
              </w:numPr>
              <w:ind w:left="366" w:hanging="354"/>
              <w:jc w:val="both"/>
              <w:rPr>
                <w:sz w:val="24"/>
              </w:rPr>
            </w:pPr>
            <w:r w:rsidRPr="0042363D">
              <w:rPr>
                <w:sz w:val="24"/>
              </w:rPr>
              <w:t>Sapersi organizzare in questa</w:t>
            </w:r>
          </w:p>
          <w:p w:rsidR="00900561" w:rsidRPr="0042363D" w:rsidRDefault="002D7AF6" w:rsidP="002D7AF6">
            <w:pPr>
              <w:jc w:val="both"/>
              <w:rPr>
                <w:b/>
              </w:rPr>
            </w:pPr>
            <w:r w:rsidRPr="0042363D">
              <w:t>fase di emergenza tramite un’aula virtuale.</w:t>
            </w:r>
          </w:p>
        </w:tc>
        <w:tc>
          <w:tcPr>
            <w:tcW w:w="992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900561" w:rsidRDefault="00900561" w:rsidP="00900561">
            <w:pPr>
              <w:jc w:val="center"/>
              <w:rPr>
                <w:b/>
              </w:rPr>
            </w:pPr>
          </w:p>
        </w:tc>
      </w:tr>
      <w:tr w:rsidR="0042363D" w:rsidTr="0042363D">
        <w:tc>
          <w:tcPr>
            <w:tcW w:w="2977" w:type="dxa"/>
            <w:shd w:val="clear" w:color="auto" w:fill="FCE9D0" w:themeFill="accent1" w:themeFillTint="33"/>
            <w:vAlign w:val="center"/>
          </w:tcPr>
          <w:p w:rsidR="002D7AF6" w:rsidRPr="0042363D" w:rsidRDefault="002D7AF6" w:rsidP="0042363D">
            <w:pPr>
              <w:ind w:left="-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>RESPONSABILITÀ</w:t>
            </w:r>
          </w:p>
        </w:tc>
        <w:tc>
          <w:tcPr>
            <w:tcW w:w="3827" w:type="dxa"/>
            <w:vAlign w:val="bottom"/>
          </w:tcPr>
          <w:p w:rsidR="002D7AF6" w:rsidRPr="0042363D" w:rsidRDefault="002D7AF6" w:rsidP="00852A84">
            <w:pPr>
              <w:numPr>
                <w:ilvl w:val="0"/>
                <w:numId w:val="3"/>
              </w:numPr>
              <w:suppressAutoHyphens w:val="0"/>
              <w:spacing w:line="266" w:lineRule="exact"/>
              <w:ind w:left="366" w:hanging="283"/>
              <w:textAlignment w:val="auto"/>
            </w:pPr>
            <w:r w:rsidRPr="0042363D">
              <w:rPr>
                <w:b/>
              </w:rPr>
              <w:t>S</w:t>
            </w:r>
            <w:r w:rsidRPr="0042363D">
              <w:t>volgere con regolarità le    consegne on line</w:t>
            </w:r>
            <w:r w:rsidRPr="0042363D">
              <w:t>.</w:t>
            </w:r>
          </w:p>
          <w:p w:rsidR="002D7AF6" w:rsidRPr="0042363D" w:rsidRDefault="002D7AF6" w:rsidP="002D7AF6">
            <w:pPr>
              <w:numPr>
                <w:ilvl w:val="0"/>
                <w:numId w:val="3"/>
              </w:numPr>
              <w:suppressAutoHyphens w:val="0"/>
              <w:spacing w:line="266" w:lineRule="exact"/>
              <w:ind w:left="366" w:hanging="325"/>
              <w:textAlignment w:val="auto"/>
            </w:pPr>
            <w:r w:rsidRPr="0042363D">
              <w:t xml:space="preserve"> </w:t>
            </w:r>
            <w:r w:rsidRPr="0042363D">
              <w:t>Offrire supporto ai compagni</w:t>
            </w:r>
          </w:p>
          <w:p w:rsidR="002D7AF6" w:rsidRPr="0042363D" w:rsidRDefault="002D7AF6" w:rsidP="002D7AF6">
            <w:pPr>
              <w:numPr>
                <w:ilvl w:val="0"/>
                <w:numId w:val="3"/>
              </w:numPr>
              <w:suppressAutoHyphens w:val="0"/>
              <w:spacing w:line="266" w:lineRule="exact"/>
              <w:ind w:left="366" w:hanging="283"/>
              <w:textAlignment w:val="auto"/>
            </w:pPr>
            <w:r w:rsidRPr="0042363D">
              <w:t>Partecipare costruttivamente</w:t>
            </w:r>
            <w:r w:rsidRPr="0042363D">
              <w:t xml:space="preserve"> </w:t>
            </w:r>
            <w:r w:rsidRPr="0042363D">
              <w:t>ai colloqui a distanza</w:t>
            </w:r>
            <w:r w:rsidRPr="0042363D">
              <w:t>.</w:t>
            </w:r>
          </w:p>
          <w:p w:rsidR="002D7AF6" w:rsidRPr="0042363D" w:rsidRDefault="002D7AF6" w:rsidP="002D7AF6">
            <w:pPr>
              <w:suppressAutoHyphens w:val="0"/>
              <w:spacing w:line="266" w:lineRule="exact"/>
              <w:textAlignment w:val="auto"/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42363D" w:rsidTr="0042363D">
        <w:tc>
          <w:tcPr>
            <w:tcW w:w="2977" w:type="dxa"/>
            <w:shd w:val="clear" w:color="auto" w:fill="FCE9D0" w:themeFill="accent1" w:themeFillTint="33"/>
            <w:vAlign w:val="center"/>
          </w:tcPr>
          <w:p w:rsidR="002D7AF6" w:rsidRPr="0042363D" w:rsidRDefault="002D7AF6" w:rsidP="0042363D">
            <w:pPr>
              <w:ind w:left="-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>ORGANIZZAZIONE DEL MATERIALE E DEL LAVORO</w:t>
            </w:r>
          </w:p>
        </w:tc>
        <w:tc>
          <w:tcPr>
            <w:tcW w:w="3827" w:type="dxa"/>
          </w:tcPr>
          <w:p w:rsidR="002D7AF6" w:rsidRPr="0042363D" w:rsidRDefault="002D7AF6" w:rsidP="002D7AF6">
            <w:pPr>
              <w:pStyle w:val="Paragrafoelenco"/>
              <w:numPr>
                <w:ilvl w:val="0"/>
                <w:numId w:val="5"/>
              </w:numPr>
              <w:spacing w:line="266" w:lineRule="exact"/>
              <w:ind w:left="366"/>
              <w:rPr>
                <w:sz w:val="24"/>
              </w:rPr>
            </w:pPr>
            <w:r w:rsidRPr="0042363D">
              <w:rPr>
                <w:sz w:val="24"/>
              </w:rPr>
              <w:t>Saper raccogliere i materiali didattici.</w:t>
            </w:r>
          </w:p>
          <w:p w:rsidR="002D7AF6" w:rsidRPr="0042363D" w:rsidRDefault="002D7AF6" w:rsidP="002D7AF6">
            <w:pPr>
              <w:pStyle w:val="Paragrafoelenco"/>
              <w:numPr>
                <w:ilvl w:val="0"/>
                <w:numId w:val="5"/>
              </w:numPr>
              <w:suppressAutoHyphens w:val="0"/>
              <w:spacing w:line="266" w:lineRule="exact"/>
              <w:ind w:left="366"/>
              <w:textAlignment w:val="auto"/>
              <w:rPr>
                <w:sz w:val="24"/>
              </w:rPr>
            </w:pPr>
            <w:r w:rsidRPr="0042363D">
              <w:rPr>
                <w:sz w:val="24"/>
              </w:rPr>
              <w:t>Saperli catalogare per discipline e argomenti.</w:t>
            </w:r>
          </w:p>
          <w:p w:rsidR="002D7AF6" w:rsidRPr="0042363D" w:rsidRDefault="002D7AF6" w:rsidP="002D7AF6">
            <w:pPr>
              <w:pStyle w:val="Paragrafoelenco"/>
              <w:numPr>
                <w:ilvl w:val="0"/>
                <w:numId w:val="5"/>
              </w:numPr>
              <w:spacing w:line="0" w:lineRule="atLeast"/>
              <w:ind w:left="366"/>
              <w:rPr>
                <w:sz w:val="24"/>
              </w:rPr>
            </w:pPr>
            <w:r w:rsidRPr="0042363D">
              <w:rPr>
                <w:sz w:val="24"/>
              </w:rPr>
              <w:t>Saper tradurre il materiale multimediale in contenuto di apprendimento.</w:t>
            </w: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42363D" w:rsidTr="0042363D">
        <w:tc>
          <w:tcPr>
            <w:tcW w:w="2977" w:type="dxa"/>
            <w:shd w:val="clear" w:color="auto" w:fill="FCE9D0" w:themeFill="accent1" w:themeFillTint="33"/>
            <w:vAlign w:val="center"/>
          </w:tcPr>
          <w:p w:rsidR="002D7AF6" w:rsidRPr="0042363D" w:rsidRDefault="002D7AF6" w:rsidP="0042363D">
            <w:pPr>
              <w:ind w:left="-111" w:firstLine="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>PROGRESSIONE DELL’APPRENDIMENTO</w:t>
            </w:r>
          </w:p>
        </w:tc>
        <w:tc>
          <w:tcPr>
            <w:tcW w:w="3827" w:type="dxa"/>
          </w:tcPr>
          <w:p w:rsidR="002D7AF6" w:rsidRPr="0042363D" w:rsidRDefault="00852A84" w:rsidP="00852A84">
            <w:pPr>
              <w:pStyle w:val="Paragrafoelenco"/>
              <w:numPr>
                <w:ilvl w:val="0"/>
                <w:numId w:val="6"/>
              </w:numPr>
              <w:suppressAutoHyphens w:val="0"/>
              <w:spacing w:line="278" w:lineRule="exact"/>
              <w:ind w:left="366" w:hanging="283"/>
              <w:jc w:val="both"/>
              <w:textAlignment w:val="auto"/>
              <w:rPr>
                <w:sz w:val="24"/>
              </w:rPr>
            </w:pPr>
            <w:r w:rsidRPr="0042363D">
              <w:rPr>
                <w:sz w:val="24"/>
              </w:rPr>
              <w:t>Progredire nell’acquisizione di conoscenze, abilità e competenze tramite l’integrazione con strumenti digitali e il rispetto dello scambio di informazioni.</w:t>
            </w: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  <w:tr w:rsidR="0042363D" w:rsidTr="0042363D">
        <w:tc>
          <w:tcPr>
            <w:tcW w:w="2977" w:type="dxa"/>
            <w:shd w:val="clear" w:color="auto" w:fill="FCE9D0" w:themeFill="accent1" w:themeFillTint="33"/>
            <w:vAlign w:val="center"/>
          </w:tcPr>
          <w:p w:rsidR="002D7AF6" w:rsidRPr="0042363D" w:rsidRDefault="002D7AF6" w:rsidP="0042363D">
            <w:pPr>
              <w:ind w:left="-111"/>
              <w:jc w:val="center"/>
              <w:rPr>
                <w:b/>
                <w:sz w:val="21"/>
              </w:rPr>
            </w:pPr>
            <w:r w:rsidRPr="0042363D">
              <w:rPr>
                <w:b/>
                <w:sz w:val="21"/>
              </w:rPr>
              <w:t>COM</w:t>
            </w:r>
            <w:r w:rsidR="00852A84" w:rsidRPr="0042363D">
              <w:rPr>
                <w:b/>
                <w:sz w:val="21"/>
              </w:rPr>
              <w:t>U</w:t>
            </w:r>
            <w:r w:rsidRPr="0042363D">
              <w:rPr>
                <w:b/>
                <w:sz w:val="21"/>
              </w:rPr>
              <w:t>NICAZIONE</w:t>
            </w:r>
          </w:p>
        </w:tc>
        <w:tc>
          <w:tcPr>
            <w:tcW w:w="3827" w:type="dxa"/>
            <w:vAlign w:val="bottom"/>
          </w:tcPr>
          <w:p w:rsidR="002D7AF6" w:rsidRPr="0042363D" w:rsidRDefault="0042363D" w:rsidP="0042363D">
            <w:pPr>
              <w:pStyle w:val="Paragrafoelenco"/>
              <w:numPr>
                <w:ilvl w:val="0"/>
                <w:numId w:val="6"/>
              </w:numPr>
              <w:suppressAutoHyphens w:val="0"/>
              <w:spacing w:line="0" w:lineRule="atLeast"/>
              <w:ind w:left="366" w:hanging="283"/>
              <w:textAlignment w:val="auto"/>
              <w:rPr>
                <w:sz w:val="24"/>
              </w:rPr>
            </w:pPr>
            <w:r w:rsidRPr="0042363D">
              <w:rPr>
                <w:sz w:val="24"/>
              </w:rPr>
              <w:t>Frequenza di interazioni on line con i docenti.</w:t>
            </w:r>
          </w:p>
          <w:p w:rsidR="0042363D" w:rsidRPr="0042363D" w:rsidRDefault="0042363D" w:rsidP="0042363D">
            <w:pPr>
              <w:pStyle w:val="Paragrafoelenco"/>
              <w:numPr>
                <w:ilvl w:val="0"/>
                <w:numId w:val="6"/>
              </w:numPr>
              <w:suppressAutoHyphens w:val="0"/>
              <w:spacing w:line="0" w:lineRule="atLeast"/>
              <w:ind w:left="366" w:hanging="283"/>
              <w:textAlignment w:val="auto"/>
              <w:rPr>
                <w:sz w:val="24"/>
              </w:rPr>
            </w:pPr>
            <w:r w:rsidRPr="0042363D">
              <w:rPr>
                <w:sz w:val="24"/>
              </w:rPr>
              <w:t>Comunicazione chiara e pertinente.</w:t>
            </w: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D7AF6" w:rsidRDefault="002D7AF6" w:rsidP="002D7AF6">
            <w:pPr>
              <w:jc w:val="center"/>
              <w:rPr>
                <w:b/>
              </w:rPr>
            </w:pPr>
          </w:p>
        </w:tc>
      </w:tr>
    </w:tbl>
    <w:p w:rsidR="00900561" w:rsidRPr="00900561" w:rsidRDefault="00900561" w:rsidP="00900561">
      <w:pPr>
        <w:jc w:val="center"/>
        <w:rPr>
          <w:b/>
        </w:rPr>
      </w:pPr>
    </w:p>
    <w:sectPr w:rsidR="00900561" w:rsidRPr="00900561" w:rsidSect="00900561">
      <w:pgSz w:w="11900" w:h="16840"/>
      <w:pgMar w:top="6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Corbe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B44"/>
    <w:multiLevelType w:val="hybridMultilevel"/>
    <w:tmpl w:val="B55C2B2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2C31E93"/>
    <w:multiLevelType w:val="hybridMultilevel"/>
    <w:tmpl w:val="3F46E55E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145A"/>
    <w:multiLevelType w:val="hybridMultilevel"/>
    <w:tmpl w:val="C9C66FA6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2998"/>
    <w:multiLevelType w:val="hybridMultilevel"/>
    <w:tmpl w:val="B842735C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691A"/>
    <w:multiLevelType w:val="hybridMultilevel"/>
    <w:tmpl w:val="9A460784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1"/>
    <w:rsid w:val="00026DFD"/>
    <w:rsid w:val="002D7AF6"/>
    <w:rsid w:val="0042363D"/>
    <w:rsid w:val="00715D74"/>
    <w:rsid w:val="008377B7"/>
    <w:rsid w:val="00852A84"/>
    <w:rsid w:val="00900561"/>
    <w:rsid w:val="00B1498F"/>
    <w:rsid w:val="00C43686"/>
    <w:rsid w:val="00DD43E8"/>
    <w:rsid w:val="00E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0DE2"/>
  <w14:defaultImageDpi w14:val="32767"/>
  <w15:chartTrackingRefBased/>
  <w15:docId w15:val="{D523CE7C-5C91-AF49-AE14-D2040FD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05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7B7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77B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77B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77B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77B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377B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377B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77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377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uiPriority w:val="1"/>
    <w:qFormat/>
    <w:rsid w:val="008377B7"/>
    <w:pPr>
      <w:widowControl w:val="0"/>
      <w:autoSpaceDE w:val="0"/>
      <w:autoSpaceDN w:val="0"/>
      <w:ind w:left="1473" w:hanging="360"/>
      <w:outlineLvl w:val="5"/>
    </w:pPr>
    <w:rPr>
      <w:rFonts w:ascii="Arial" w:eastAsia="Arial" w:hAnsi="Arial" w:cs="Arial"/>
      <w:iCs/>
      <w:sz w:val="22"/>
      <w:szCs w:val="22"/>
      <w:lang w:bidi="it-IT"/>
    </w:rPr>
  </w:style>
  <w:style w:type="paragraph" w:customStyle="1" w:styleId="Titolo31">
    <w:name w:val="Titolo 31"/>
    <w:basedOn w:val="Normale"/>
    <w:uiPriority w:val="1"/>
    <w:qFormat/>
    <w:rsid w:val="008377B7"/>
    <w:pPr>
      <w:widowControl w:val="0"/>
      <w:autoSpaceDE w:val="0"/>
      <w:autoSpaceDN w:val="0"/>
      <w:ind w:left="1613" w:hanging="360"/>
      <w:outlineLvl w:val="3"/>
    </w:pPr>
    <w:rPr>
      <w:iCs/>
      <w:lang w:bidi="it-IT"/>
    </w:rPr>
  </w:style>
  <w:style w:type="paragraph" w:customStyle="1" w:styleId="TableParagraph">
    <w:name w:val="Table Paragraph"/>
    <w:basedOn w:val="Normale"/>
    <w:uiPriority w:val="1"/>
    <w:qFormat/>
    <w:rsid w:val="008377B7"/>
    <w:pPr>
      <w:widowControl w:val="0"/>
    </w:pPr>
    <w:rPr>
      <w:rFonts w:ascii="Calibri" w:hAnsi="Calibri" w:cs="Calibri"/>
      <w:iCs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77B7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77B7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77B7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77B7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77B7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377B7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377B7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77B7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377B7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77B7"/>
    <w:rPr>
      <w:b/>
      <w:bCs/>
      <w:color w:val="9E914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7B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sid w:val="008377B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7B7"/>
    <w:pPr>
      <w:spacing w:before="200" w:after="360"/>
    </w:pPr>
    <w:rPr>
      <w:rFonts w:asciiTheme="majorHAnsi" w:eastAsiaTheme="majorEastAsia" w:hAnsiTheme="majorHAnsi" w:cstheme="majorBidi"/>
      <w:color w:val="9D360E" w:themeColor="text2"/>
      <w:spacing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7B7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77B7"/>
    <w:rPr>
      <w:b/>
      <w:bCs/>
      <w:spacing w:val="0"/>
    </w:rPr>
  </w:style>
  <w:style w:type="character" w:styleId="Enfasicorsivo">
    <w:name w:val="Emphasis"/>
    <w:uiPriority w:val="20"/>
    <w:qFormat/>
    <w:rsid w:val="008377B7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essunaspaziatura">
    <w:name w:val="No Spacing"/>
    <w:basedOn w:val="Normale"/>
    <w:link w:val="NessunaspaziaturaCarattere"/>
    <w:uiPriority w:val="1"/>
    <w:qFormat/>
    <w:rsid w:val="008377B7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77B7"/>
    <w:rPr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77B7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7B7"/>
    <w:rPr>
      <w:b/>
      <w:i/>
      <w:color w:val="C1B56B" w:themeColor="accen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7B7"/>
    <w:rPr>
      <w:b/>
      <w:i/>
      <w:iCs/>
      <w:color w:val="C1B56B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7B7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7B7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Enfasidelicata">
    <w:name w:val="Subtle Emphasis"/>
    <w:uiPriority w:val="19"/>
    <w:qFormat/>
    <w:rsid w:val="008377B7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Enfasiintensa">
    <w:name w:val="Intense Emphasis"/>
    <w:uiPriority w:val="21"/>
    <w:qFormat/>
    <w:rsid w:val="008377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Riferimentodelicato">
    <w:name w:val="Subtle Reference"/>
    <w:uiPriority w:val="31"/>
    <w:qFormat/>
    <w:rsid w:val="008377B7"/>
    <w:rPr>
      <w:i/>
      <w:iCs/>
      <w:smallCaps/>
      <w:color w:val="C1B56B" w:themeColor="accent2"/>
      <w:u w:color="C1B56B" w:themeColor="accent2"/>
    </w:rPr>
  </w:style>
  <w:style w:type="character" w:styleId="Riferimentointenso">
    <w:name w:val="Intense Reference"/>
    <w:uiPriority w:val="32"/>
    <w:qFormat/>
    <w:rsid w:val="008377B7"/>
    <w:rPr>
      <w:b/>
      <w:bCs/>
      <w:i/>
      <w:iCs/>
      <w:smallCaps/>
      <w:color w:val="C1B56B" w:themeColor="accent2"/>
      <w:u w:color="C1B56B" w:themeColor="accent2"/>
    </w:rPr>
  </w:style>
  <w:style w:type="character" w:styleId="Titolodellibro">
    <w:name w:val="Book Title"/>
    <w:uiPriority w:val="33"/>
    <w:qFormat/>
    <w:rsid w:val="008377B7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77B7"/>
    <w:pPr>
      <w:outlineLvl w:val="9"/>
    </w:pPr>
  </w:style>
  <w:style w:type="character" w:styleId="Collegamentoipertestuale">
    <w:name w:val="Hyperlink"/>
    <w:rsid w:val="009005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00561"/>
    <w:rPr>
      <w:rFonts w:ascii="Calibri" w:eastAsia="Calibri" w:hAnsi="Calibri" w:cs="Calibri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900561"/>
    <w:rPr>
      <w:rFonts w:ascii="Calibri" w:eastAsia="Calibri" w:hAnsi="Calibri" w:cs="Calibri"/>
      <w:kern w:val="1"/>
      <w:sz w:val="24"/>
      <w:szCs w:val="24"/>
      <w:lang w:val="x-none" w:eastAsia="zh-CN"/>
    </w:rPr>
  </w:style>
  <w:style w:type="table" w:styleId="Grigliatabella">
    <w:name w:val="Table Grid"/>
    <w:basedOn w:val="Tabellanormale"/>
    <w:uiPriority w:val="39"/>
    <w:rsid w:val="0090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ic85500b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Vetrano</dc:creator>
  <cp:keywords/>
  <dc:description/>
  <cp:lastModifiedBy>Nunzio Vetrano</cp:lastModifiedBy>
  <cp:revision>1</cp:revision>
  <dcterms:created xsi:type="dcterms:W3CDTF">2020-04-06T15:40:00Z</dcterms:created>
  <dcterms:modified xsi:type="dcterms:W3CDTF">2020-04-06T16:41:00Z</dcterms:modified>
</cp:coreProperties>
</file>